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A90140" w:rsidP="00A90140">
      <w:pPr>
        <w:widowControl/>
        <w:bidi w:val="0"/>
        <w:spacing w:after="240"/>
        <w:ind w:left="57" w:right="57"/>
        <w:jc w:val="center"/>
        <w:rPr>
          <w:rFonts w:ascii="Times New Roman" w:eastAsia="Times New Roman" w:hAnsi="Times New Roman" w:cs="Times New Roman"/>
          <w:b/>
          <w:bCs/>
        </w:rPr>
      </w:pPr>
      <w:r w:rsidRPr="00A90140">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140" w:rsidRPr="00A90140" w:rsidP="00A90140">
            <w:pPr>
              <w:widowControl/>
              <w:bidi w:val="0"/>
              <w:spacing w:after="36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A90140">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 xml:space="preserve">Voting results: </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b/>
                <w:bCs/>
                <w:rtl w:val="0"/>
                <w:lang w:val="en-US"/>
              </w:rPr>
              <w:t xml:space="preserve">on item No. 1 </w:t>
            </w:r>
            <w:r w:rsidRPr="00A90140">
              <w:rPr>
                <w:rFonts w:ascii="Times New Roman" w:eastAsia="Times New Roman" w:hAnsi="Times New Roman" w:cs="Times New Roman"/>
                <w:rtl w:val="0"/>
                <w:lang w:val="en-US"/>
              </w:rPr>
              <w:t>of the agenda:</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“In favor” - 11 votes</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“Against” - 0 votes;</w:t>
            </w:r>
          </w:p>
          <w:p w:rsid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 xml:space="preserve">“Abstained” - 0 votes; </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b/>
                <w:bCs/>
                <w:rtl w:val="0"/>
                <w:lang w:val="en-US"/>
              </w:rPr>
              <w:t xml:space="preserve">on item No. 2 </w:t>
            </w:r>
            <w:r w:rsidRPr="00A90140">
              <w:rPr>
                <w:rFonts w:ascii="Times New Roman" w:eastAsia="Times New Roman" w:hAnsi="Times New Roman" w:cs="Times New Roman"/>
                <w:rtl w:val="0"/>
                <w:lang w:val="en-US"/>
              </w:rPr>
              <w:t>of the agenda:</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“In favor” -11 votes;</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“Against” - 0 votes;</w:t>
            </w:r>
          </w:p>
          <w:p w:rsid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 xml:space="preserve">“Abstained” - 0 votes; </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b/>
                <w:bCs/>
                <w:rtl w:val="0"/>
                <w:lang w:val="en-US"/>
              </w:rPr>
              <w:t xml:space="preserve">on item No. 3 </w:t>
            </w:r>
            <w:r w:rsidRPr="00A90140">
              <w:rPr>
                <w:rFonts w:ascii="Times New Roman" w:eastAsia="Times New Roman" w:hAnsi="Times New Roman" w:cs="Times New Roman"/>
                <w:rtl w:val="0"/>
                <w:lang w:val="en-US"/>
              </w:rPr>
              <w:t>of the agenda:</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“In favor” - 9 votes;</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“Against” - 0 votes;</w:t>
            </w:r>
          </w:p>
          <w:p w:rsidR="00A90140" w:rsidRPr="00A90140" w:rsidP="00A90140">
            <w:pPr>
              <w:widowControl/>
              <w:bidi w:val="0"/>
              <w:spacing w:after="36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“Abstained” - 2 votes</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140" w:rsidRPr="00A90140" w:rsidP="00A90140">
            <w:pPr>
              <w:widowControl/>
              <w:bidi w:val="0"/>
              <w:ind w:left="57" w:right="57"/>
              <w:jc w:val="center"/>
              <w:rPr>
                <w:rFonts w:ascii="Times New Roman" w:eastAsia="Times New Roman" w:hAnsi="Times New Roman" w:cs="Times New Roman"/>
              </w:rPr>
            </w:pPr>
            <w:r w:rsidRPr="00A90140">
              <w:rPr>
                <w:rFonts w:ascii="Times New Roman" w:eastAsia="Times New Roman" w:hAnsi="Times New Roman" w:cs="Times New Roman"/>
                <w:b/>
                <w:bCs/>
                <w:rtl w:val="0"/>
                <w:lang w:val="en-US"/>
              </w:rPr>
              <w:t>Disclosure of insider information on item No. 1: "On consideration of the information of the Company's General Director on indicators of the level of reliability and quality of services provided for all branches of the Company subject to tariff regulation based on long-term parameters of activity regulation for 2017."</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2.2.1</w:t>
              <w:tab/>
              <w:t>Content of the resolution adopted by the Issuer’s Board of Directors:</w:t>
            </w:r>
          </w:p>
          <w:p w:rsidR="00A90140" w:rsidRPr="00A90140" w:rsidP="00A90140">
            <w:pPr>
              <w:widowControl/>
              <w:bidi w:val="0"/>
              <w:ind w:left="57" w:right="57" w:firstLine="640"/>
              <w:jc w:val="both"/>
              <w:rPr>
                <w:rFonts w:ascii="Times New Roman" w:eastAsia="Times New Roman" w:hAnsi="Times New Roman" w:cs="Times New Roman"/>
              </w:rPr>
            </w:pPr>
            <w:r w:rsidRPr="00A90140">
              <w:rPr>
                <w:rFonts w:ascii="Times New Roman" w:eastAsia="Times New Roman" w:hAnsi="Times New Roman" w:cs="Times New Roman"/>
                <w:rtl w:val="0"/>
                <w:lang w:val="en-US"/>
              </w:rPr>
              <w:t>1.</w:t>
              <w:tab/>
              <w:t>To take into consideration the information of the Company's General Director on the indicators of the level of reliability and quality of the services provided for all branches of the Company subject to tariff regulation based on long-term parameters of activity regulation for 2017 in accordance with Appendix No. 1 to this resolution of the Company's Board of Directors.</w:t>
            </w:r>
          </w:p>
          <w:p w:rsidR="00A90140" w:rsidRPr="00A90140" w:rsidP="00A90140">
            <w:pPr>
              <w:widowControl/>
              <w:bidi w:val="0"/>
              <w:spacing w:after="240"/>
              <w:ind w:left="57" w:right="57" w:firstLine="640"/>
              <w:jc w:val="both"/>
              <w:rPr>
                <w:rFonts w:ascii="Times New Roman" w:eastAsia="Times New Roman" w:hAnsi="Times New Roman" w:cs="Times New Roman"/>
              </w:rPr>
            </w:pPr>
            <w:r w:rsidRPr="00A90140">
              <w:rPr>
                <w:rFonts w:ascii="Times New Roman" w:eastAsia="Times New Roman" w:hAnsi="Times New Roman" w:cs="Times New Roman"/>
                <w:rtl w:val="0"/>
                <w:lang w:val="en-US"/>
              </w:rPr>
              <w:t>2.</w:t>
              <w:tab/>
              <w:t>Instruct the General Director of the Company to ensure sending of the information to the executive authorities of the constituent entities of the Russian Federation in the field of state regulation of tariffs specified in clause 1 of this resolution of the Company's Board of Directors.</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140" w:rsidRPr="00A90140" w:rsidP="00A90140">
            <w:pPr>
              <w:widowControl/>
              <w:bidi w:val="0"/>
              <w:ind w:left="57" w:right="57"/>
              <w:jc w:val="center"/>
              <w:rPr>
                <w:rFonts w:ascii="Times New Roman" w:eastAsia="Times New Roman" w:hAnsi="Times New Roman" w:cs="Times New Roman"/>
              </w:rPr>
            </w:pPr>
            <w:r w:rsidRPr="00A90140">
              <w:rPr>
                <w:rFonts w:ascii="Times New Roman" w:eastAsia="Times New Roman" w:hAnsi="Times New Roman" w:cs="Times New Roman"/>
                <w:b/>
                <w:bCs/>
                <w:rtl w:val="0"/>
                <w:lang w:val="en-US"/>
              </w:rPr>
              <w:t>Disclosure of insider information on item No. 2: "On consideration of the report of the General Director of PJSC "IDGC of the South" on the credit policy of the Company in the 4th quarter of 2017."</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2.2.2</w:t>
              <w:tab/>
              <w:t>Content of the resolution adopted by the Issuer’s Board of Directors:</w:t>
            </w:r>
          </w:p>
          <w:p w:rsidR="00A90140" w:rsidRPr="00A90140" w:rsidP="00A90140">
            <w:pPr>
              <w:widowControl/>
              <w:bidi w:val="0"/>
              <w:ind w:left="57" w:right="57" w:firstLine="640"/>
              <w:jc w:val="both"/>
              <w:rPr>
                <w:rFonts w:ascii="Times New Roman" w:eastAsia="Times New Roman" w:hAnsi="Times New Roman" w:cs="Times New Roman"/>
              </w:rPr>
            </w:pPr>
            <w:r w:rsidRPr="00A90140">
              <w:rPr>
                <w:rFonts w:ascii="Times New Roman" w:eastAsia="Times New Roman" w:hAnsi="Times New Roman" w:cs="Times New Roman"/>
                <w:rtl w:val="0"/>
                <w:lang w:val="en-US"/>
              </w:rPr>
              <w:t>1.</w:t>
              <w:tab/>
              <w:t>To take into consideration the report of the Director General of PJSC "IDGC of the South" on the credit policy of the Company in the 4th quarter of 2017 in accordance with Appendix No. 2 to this resolution of the Company's Board of Directors.</w:t>
            </w:r>
          </w:p>
          <w:p w:rsidR="00A90140" w:rsidRPr="00A90140" w:rsidP="00A90140">
            <w:pPr>
              <w:widowControl/>
              <w:bidi w:val="0"/>
              <w:ind w:left="57" w:right="57" w:firstLine="640"/>
              <w:jc w:val="both"/>
              <w:rPr>
                <w:rFonts w:ascii="Times New Roman" w:eastAsia="Times New Roman" w:hAnsi="Times New Roman" w:cs="Times New Roman"/>
              </w:rPr>
            </w:pPr>
            <w:r w:rsidRPr="00A90140">
              <w:rPr>
                <w:rFonts w:ascii="Times New Roman" w:eastAsia="Times New Roman" w:hAnsi="Times New Roman" w:cs="Times New Roman"/>
                <w:rtl w:val="0"/>
                <w:lang w:val="en-US"/>
              </w:rPr>
              <w:t>2.</w:t>
              <w:tab/>
              <w:t>To note the excess of the maximum allowable limit on the financial leverage, the target limit for covering the debt and the maximum allowable limit for covering debt servicing established by the Plan of Long-term Development of the Company approved by the Board of Directors (Minutes No. 129/2014 of March 03, 2014).</w:t>
            </w:r>
          </w:p>
          <w:p w:rsidR="00A90140" w:rsidRPr="00A90140" w:rsidP="00A90140">
            <w:pPr>
              <w:widowControl/>
              <w:bidi w:val="0"/>
              <w:spacing w:after="240"/>
              <w:ind w:left="57" w:right="57" w:firstLine="640"/>
              <w:jc w:val="both"/>
              <w:rPr>
                <w:rFonts w:ascii="Times New Roman" w:eastAsia="Times New Roman" w:hAnsi="Times New Roman" w:cs="Times New Roman"/>
              </w:rPr>
            </w:pPr>
            <w:r w:rsidRPr="00A90140">
              <w:rPr>
                <w:rFonts w:ascii="Times New Roman" w:eastAsia="Times New Roman" w:hAnsi="Times New Roman" w:cs="Times New Roman"/>
                <w:rtl w:val="0"/>
                <w:lang w:val="en-US"/>
              </w:rPr>
              <w:t>3.</w:t>
              <w:tab/>
              <w:t>Authorize the Company’s General Director to ensure the implementation of the Credit Policy Regulations approved by the Company’s Board of Directors.</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140" w:rsidRPr="00A90140" w:rsidP="00A90140">
            <w:pPr>
              <w:widowControl/>
              <w:bidi w:val="0"/>
              <w:ind w:left="57" w:right="57"/>
              <w:jc w:val="center"/>
              <w:rPr>
                <w:rFonts w:ascii="Times New Roman" w:eastAsia="Times New Roman" w:hAnsi="Times New Roman" w:cs="Times New Roman"/>
              </w:rPr>
            </w:pPr>
            <w:r w:rsidRPr="00A90140">
              <w:rPr>
                <w:rFonts w:ascii="Times New Roman" w:eastAsia="Times New Roman" w:hAnsi="Times New Roman" w:cs="Times New Roman"/>
                <w:b/>
                <w:bCs/>
                <w:rtl w:val="0"/>
                <w:lang w:val="en-US"/>
              </w:rPr>
              <w:t xml:space="preserve">Disclosure of insider </w:t>
            </w:r>
            <w:bookmarkStart w:id="0" w:name="_GoBack"/>
            <w:bookmarkEnd w:id="0"/>
            <w:r w:rsidRPr="00A90140">
              <w:rPr>
                <w:rFonts w:ascii="Times New Roman" w:eastAsia="Times New Roman" w:hAnsi="Times New Roman" w:cs="Times New Roman"/>
                <w:b/>
                <w:bCs/>
                <w:rtl w:val="0"/>
                <w:lang w:val="en-US"/>
              </w:rPr>
              <w:t>information on item No. 3: "On the adjustment of the Plan of purchases, goods, works, services of PJSC "IDGC of the South" for 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2.2.3</w:t>
              <w:tab/>
              <w:t>Content of the resolution adopted by the Issuer’s Board of Directors:</w:t>
            </w:r>
          </w:p>
          <w:p w:rsidR="00A90140" w:rsidRPr="00A90140" w:rsidP="00A90140">
            <w:pPr>
              <w:widowControl/>
              <w:bidi w:val="0"/>
              <w:spacing w:after="240"/>
              <w:ind w:left="57" w:right="57" w:firstLine="640"/>
              <w:jc w:val="both"/>
              <w:rPr>
                <w:rFonts w:ascii="Times New Roman" w:eastAsia="Times New Roman" w:hAnsi="Times New Roman" w:cs="Times New Roman"/>
              </w:rPr>
            </w:pPr>
            <w:r w:rsidRPr="00A90140">
              <w:rPr>
                <w:rFonts w:ascii="Times New Roman" w:eastAsia="Times New Roman" w:hAnsi="Times New Roman" w:cs="Times New Roman"/>
                <w:rtl w:val="0"/>
                <w:lang w:val="en-US"/>
              </w:rPr>
              <w:t>To approve the adjustment of the Plan of purchases, goods, works, services of PJSC "IDGC of the South" for 2018 in terms of increasing the cost of previously approved purchases for the right to conclude energy service contracts in accordance with Appendix No. 3 to this resolution of the Company's Board of Directors.</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A90140">
              <w:rPr>
                <w:rFonts w:ascii="Times New Roman" w:eastAsia="Times New Roman" w:hAnsi="Times New Roman" w:cs="Times New Roman"/>
                <w:b/>
                <w:bCs/>
                <w:i/>
                <w:iCs/>
                <w:rtl w:val="0"/>
                <w:lang w:val="en-US"/>
              </w:rPr>
              <w:t>April 27, 2018.</w:t>
            </w:r>
          </w:p>
          <w:p w:rsidR="00A90140" w:rsidRPr="00A90140" w:rsidP="00A90140">
            <w:pPr>
              <w:widowControl/>
              <w:bidi w:val="0"/>
              <w:ind w:left="57" w:right="57"/>
              <w:jc w:val="both"/>
              <w:rPr>
                <w:rFonts w:ascii="Times New Roman" w:eastAsia="Times New Roman" w:hAnsi="Times New Roman" w:cs="Times New Roman"/>
              </w:rPr>
            </w:pPr>
            <w:r w:rsidRPr="00A90140">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A90140">
              <w:rPr>
                <w:rFonts w:ascii="Times New Roman" w:eastAsia="Times New Roman" w:hAnsi="Times New Roman" w:cs="Times New Roman"/>
                <w:b/>
                <w:bCs/>
                <w:i/>
                <w:iCs/>
                <w:rtl w:val="0"/>
                <w:lang w:val="en-US"/>
              </w:rPr>
              <w:t>May 3, 2018, Minutes No. 270/2018.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931F0F">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May 03,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931F0F">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81D1-8A65-432E-8FD4-F5AA57A1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2018-05-24T07:26:00Z</dcterms:created>
  <dcterms:modified xsi:type="dcterms:W3CDTF">2018-05-24T07:33:00Z</dcterms:modified>
</cp:coreProperties>
</file>